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8228F4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94885">
        <w:t>122bis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D94885">
        <w:rPr>
          <w:sz w:val="32"/>
          <w:szCs w:val="32"/>
        </w:rPr>
        <w:t>250</w:t>
      </w:r>
      <w:r w:rsidR="00EF547A">
        <w:rPr>
          <w:sz w:val="32"/>
          <w:szCs w:val="32"/>
        </w:rPr>
        <w:t>7349</w:t>
      </w:r>
    </w:p>
    <w:p w14:paraId="0CE7B7E6" w14:textId="58D5BA91" w:rsidR="00E90E49" w:rsidRPr="00CE0424" w:rsidRDefault="00D94885" w:rsidP="00311702">
      <w:pPr>
        <w:pStyle w:val="3GPPHeader"/>
      </w:pPr>
      <w:r w:rsidRPr="00D94885">
        <w:t>Prague, Czechia, October 13</w:t>
      </w:r>
      <w:r w:rsidRPr="00D94885">
        <w:rPr>
          <w:vertAlign w:val="superscript"/>
        </w:rPr>
        <w:t>th</w:t>
      </w:r>
      <w:r w:rsidRPr="00D94885">
        <w:t>-17</w:t>
      </w:r>
      <w:r w:rsidRPr="00D94885">
        <w:rPr>
          <w:vertAlign w:val="superscript"/>
        </w:rPr>
        <w:t>th</w:t>
      </w:r>
      <w:r w:rsidRPr="00D94885">
        <w:t>, 2025</w:t>
      </w:r>
    </w:p>
    <w:p w14:paraId="3086AC07" w14:textId="77777777" w:rsidR="00E90E49" w:rsidRPr="00CE0424" w:rsidRDefault="00E90E49" w:rsidP="00357380">
      <w:pPr>
        <w:pStyle w:val="3GPPHeader"/>
      </w:pPr>
    </w:p>
    <w:p w14:paraId="3982483C" w14:textId="2ACCC261"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94885">
        <w:rPr>
          <w:sz w:val="22"/>
          <w:lang w:val="sv-FI"/>
        </w:rPr>
        <w:t>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A94D17A" w:rsidR="00E90E49" w:rsidRPr="00CE0424" w:rsidRDefault="003D3C45" w:rsidP="00311702">
      <w:pPr>
        <w:pStyle w:val="3GPPHeader"/>
        <w:rPr>
          <w:sz w:val="22"/>
        </w:rPr>
      </w:pPr>
      <w:r>
        <w:rPr>
          <w:sz w:val="22"/>
        </w:rPr>
        <w:t>Title:</w:t>
      </w:r>
      <w:r w:rsidR="00E90E49" w:rsidRPr="00CE0424">
        <w:rPr>
          <w:sz w:val="22"/>
        </w:rPr>
        <w:tab/>
      </w:r>
      <w:r w:rsidR="00D94885">
        <w:rPr>
          <w:sz w:val="22"/>
        </w:rPr>
        <w:t>On per-band capabilities for inter-frequency LTM</w:t>
      </w:r>
    </w:p>
    <w:p w14:paraId="025260C1" w14:textId="0C49DBBB" w:rsidR="00E90E49" w:rsidRPr="00CE0424" w:rsidRDefault="00E90E49" w:rsidP="00D546FF">
      <w:pPr>
        <w:pStyle w:val="3GPPHeader"/>
        <w:rPr>
          <w:sz w:val="22"/>
        </w:rPr>
      </w:pPr>
      <w:r w:rsidRPr="00CE0424">
        <w:rPr>
          <w:sz w:val="22"/>
        </w:rPr>
        <w:t>Document for:</w:t>
      </w:r>
      <w:r w:rsidRPr="00CE0424">
        <w:rPr>
          <w:sz w:val="22"/>
        </w:rPr>
        <w:tab/>
      </w:r>
      <w:r w:rsidRPr="00D94885">
        <w:rPr>
          <w:sz w:val="22"/>
        </w:rPr>
        <w:t>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57AA4C9" w:rsidR="00477768" w:rsidRDefault="000C226C" w:rsidP="000C226C">
      <w:r>
        <w:rPr>
          <w:lang w:val="en-GB" w:eastAsia="ja-JP"/>
        </w:rPr>
        <w:t xml:space="preserve">In RAN1#120, RAN1 sent the LS </w:t>
      </w:r>
      <w:r>
        <w:rPr>
          <w:lang w:val="en-GB" w:eastAsia="ja-JP"/>
        </w:rPr>
        <w:fldChar w:fldCharType="begin"/>
      </w:r>
      <w:r>
        <w:rPr>
          <w:lang w:val="en-GB" w:eastAsia="ja-JP"/>
        </w:rPr>
        <w:instrText xml:space="preserve"> REF _Ref209875035 \r \h </w:instrText>
      </w:r>
      <w:r>
        <w:rPr>
          <w:lang w:val="en-GB" w:eastAsia="ja-JP"/>
        </w:rPr>
      </w:r>
      <w:r>
        <w:rPr>
          <w:lang w:val="en-GB" w:eastAsia="ja-JP"/>
        </w:rPr>
        <w:fldChar w:fldCharType="separate"/>
      </w:r>
      <w:r w:rsidR="00F00334">
        <w:rPr>
          <w:lang w:val="en-GB" w:eastAsia="ja-JP"/>
        </w:rPr>
        <w:t>[1]</w:t>
      </w:r>
      <w:r>
        <w:rPr>
          <w:lang w:val="en-GB" w:eastAsia="ja-JP"/>
        </w:rPr>
        <w:fldChar w:fldCharType="end"/>
      </w:r>
      <w:r>
        <w:rPr>
          <w:lang w:val="en-GB" w:eastAsia="ja-JP"/>
        </w:rPr>
        <w:t xml:space="preserve"> on the Rel-18 UE features. As part of the LS, RAN1 provided a response to the RAN2 LS </w:t>
      </w:r>
      <w:r>
        <w:rPr>
          <w:lang w:val="en-GB" w:eastAsia="ja-JP"/>
        </w:rPr>
        <w:fldChar w:fldCharType="begin"/>
      </w:r>
      <w:r>
        <w:rPr>
          <w:lang w:val="en-GB" w:eastAsia="ja-JP"/>
        </w:rPr>
        <w:instrText xml:space="preserve"> REF _Ref209875180 \r \h </w:instrText>
      </w:r>
      <w:r>
        <w:rPr>
          <w:lang w:val="en-GB" w:eastAsia="ja-JP"/>
        </w:rPr>
      </w:r>
      <w:r>
        <w:rPr>
          <w:lang w:val="en-GB" w:eastAsia="ja-JP"/>
        </w:rPr>
        <w:fldChar w:fldCharType="separate"/>
      </w:r>
      <w:r w:rsidR="00F00334">
        <w:rPr>
          <w:lang w:val="en-GB" w:eastAsia="ja-JP"/>
        </w:rPr>
        <w:t>[2]</w:t>
      </w:r>
      <w:r>
        <w:rPr>
          <w:lang w:val="en-GB" w:eastAsia="ja-JP"/>
        </w:rPr>
        <w:fldChar w:fldCharType="end"/>
      </w:r>
      <w:r>
        <w:rPr>
          <w:lang w:val="en-GB" w:eastAsia="ja-JP"/>
        </w:rPr>
        <w:t xml:space="preserve"> on cross-band operation. RAN2 has implemented the cross-band operation in 38.306, stating that f</w:t>
      </w:r>
      <w:r w:rsidRPr="000C226C">
        <w:rPr>
          <w:lang w:val="en-GB" w:eastAsia="ja-JP"/>
        </w:rPr>
        <w:t>or cross-band operation, th</w:t>
      </w:r>
      <w:r>
        <w:rPr>
          <w:lang w:val="en-GB" w:eastAsia="ja-JP"/>
        </w:rPr>
        <w:t>e</w:t>
      </w:r>
      <w:r w:rsidRPr="000C226C">
        <w:rPr>
          <w:lang w:val="en-GB" w:eastAsia="ja-JP"/>
        </w:rPr>
        <w:t xml:space="preserve"> </w:t>
      </w:r>
      <w:r>
        <w:rPr>
          <w:lang w:val="en-GB" w:eastAsia="ja-JP"/>
        </w:rPr>
        <w:t xml:space="preserve">relevant </w:t>
      </w:r>
      <w:r w:rsidRPr="000C226C">
        <w:rPr>
          <w:lang w:val="en-GB" w:eastAsia="ja-JP"/>
        </w:rPr>
        <w:t>capabilit</w:t>
      </w:r>
      <w:r>
        <w:rPr>
          <w:lang w:val="en-GB" w:eastAsia="ja-JP"/>
        </w:rPr>
        <w:t>ies</w:t>
      </w:r>
      <w:r w:rsidRPr="000C226C">
        <w:rPr>
          <w:lang w:val="en-GB" w:eastAsia="ja-JP"/>
        </w:rPr>
        <w:t xml:space="preserve"> refer to the source band.</w:t>
      </w:r>
      <w:r>
        <w:rPr>
          <w:lang w:val="en-GB" w:eastAsia="ja-JP"/>
        </w:rPr>
        <w:t xml:space="preserve"> </w:t>
      </w:r>
      <w:r>
        <w:t xml:space="preserve">This agreement turns out to be problematic for capability checking at configuration of inter-band LTM candidates.  </w:t>
      </w:r>
    </w:p>
    <w:p w14:paraId="2A172604" w14:textId="080D52BB" w:rsidR="00855A70" w:rsidRPr="00CE0424" w:rsidRDefault="000C226C" w:rsidP="00CE0424">
      <w:pPr>
        <w:pStyle w:val="BodyText"/>
      </w:pPr>
      <w:r>
        <w:t>In this contribution, we discuss the issue and propose a solution.</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CB48BEF" w14:textId="004B8461" w:rsidR="00762015" w:rsidRDefault="00762015" w:rsidP="005300E6">
      <w:pPr>
        <w:rPr>
          <w:lang w:val="en-GB" w:eastAsia="ja-JP"/>
        </w:rPr>
      </w:pPr>
      <w:r>
        <w:rPr>
          <w:lang w:val="en-GB" w:eastAsia="ja-JP"/>
        </w:rPr>
        <w:t xml:space="preserve">In RAN1#120, RAN1 sent the LS </w:t>
      </w:r>
      <w:r>
        <w:rPr>
          <w:lang w:val="en-GB" w:eastAsia="ja-JP"/>
        </w:rPr>
        <w:fldChar w:fldCharType="begin"/>
      </w:r>
      <w:r>
        <w:rPr>
          <w:lang w:val="en-GB" w:eastAsia="ja-JP"/>
        </w:rPr>
        <w:instrText xml:space="preserve"> REF _Ref209875035 \r \h </w:instrText>
      </w:r>
      <w:r>
        <w:rPr>
          <w:lang w:val="en-GB" w:eastAsia="ja-JP"/>
        </w:rPr>
      </w:r>
      <w:r>
        <w:rPr>
          <w:lang w:val="en-GB" w:eastAsia="ja-JP"/>
        </w:rPr>
        <w:fldChar w:fldCharType="separate"/>
      </w:r>
      <w:r w:rsidR="00F00334">
        <w:rPr>
          <w:lang w:val="en-GB" w:eastAsia="ja-JP"/>
        </w:rPr>
        <w:t>[1]</w:t>
      </w:r>
      <w:r>
        <w:rPr>
          <w:lang w:val="en-GB" w:eastAsia="ja-JP"/>
        </w:rPr>
        <w:fldChar w:fldCharType="end"/>
      </w:r>
      <w:r>
        <w:rPr>
          <w:lang w:val="en-GB" w:eastAsia="ja-JP"/>
        </w:rPr>
        <w:t xml:space="preserve"> on the Rel-18 UE features. As part of the LS, RAN1 provided a response to the RAN2 LS </w:t>
      </w:r>
      <w:r>
        <w:rPr>
          <w:lang w:val="en-GB" w:eastAsia="ja-JP"/>
        </w:rPr>
        <w:fldChar w:fldCharType="begin"/>
      </w:r>
      <w:r>
        <w:rPr>
          <w:lang w:val="en-GB" w:eastAsia="ja-JP"/>
        </w:rPr>
        <w:instrText xml:space="preserve"> REF _Ref209875180 \r \h </w:instrText>
      </w:r>
      <w:r>
        <w:rPr>
          <w:lang w:val="en-GB" w:eastAsia="ja-JP"/>
        </w:rPr>
      </w:r>
      <w:r>
        <w:rPr>
          <w:lang w:val="en-GB" w:eastAsia="ja-JP"/>
        </w:rPr>
        <w:fldChar w:fldCharType="separate"/>
      </w:r>
      <w:r w:rsidR="00F00334">
        <w:rPr>
          <w:lang w:val="en-GB" w:eastAsia="ja-JP"/>
        </w:rPr>
        <w:t>[2]</w:t>
      </w:r>
      <w:r>
        <w:rPr>
          <w:lang w:val="en-GB" w:eastAsia="ja-JP"/>
        </w:rPr>
        <w:fldChar w:fldCharType="end"/>
      </w:r>
      <w:r>
        <w:rPr>
          <w:lang w:val="en-GB" w:eastAsia="ja-JP"/>
        </w:rPr>
        <w:t xml:space="preserve"> on cross-band operation:</w:t>
      </w:r>
    </w:p>
    <w:p w14:paraId="00CF755E" w14:textId="1183B246" w:rsidR="00762015" w:rsidRDefault="00762015" w:rsidP="005300E6">
      <w:pPr>
        <w:rPr>
          <w:lang w:val="en-GB" w:eastAsia="ja-JP"/>
        </w:rPr>
      </w:pPr>
      <w:r w:rsidRPr="00762015">
        <w:rPr>
          <w:noProof/>
          <w:lang w:val="en-GB" w:eastAsia="ja-JP"/>
        </w:rPr>
        <mc:AlternateContent>
          <mc:Choice Requires="wps">
            <w:drawing>
              <wp:inline distT="0" distB="0" distL="0" distR="0" wp14:anchorId="045AD391" wp14:editId="18CB20C6">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4245254" w14:textId="77777777" w:rsidR="00762015" w:rsidRDefault="00762015" w:rsidP="00762015">
                            <w:pPr>
                              <w:spacing w:after="0"/>
                              <w:rPr>
                                <w:rFonts w:ascii="Times" w:eastAsia="Yu Mincho" w:hAnsi="Times" w:cs="Times New Roman"/>
                                <w:b/>
                                <w:bCs/>
                                <w:szCs w:val="24"/>
                                <w:highlight w:val="green"/>
                                <w:lang w:val="en-GB" w:eastAsia="ja-JP"/>
                              </w:rPr>
                            </w:pPr>
                            <w:r>
                              <w:rPr>
                                <w:rFonts w:ascii="Times" w:eastAsia="Yu Mincho" w:hAnsi="Times"/>
                                <w:b/>
                                <w:bCs/>
                                <w:szCs w:val="24"/>
                                <w:highlight w:val="green"/>
                                <w:lang w:eastAsia="ja-JP"/>
                              </w:rPr>
                              <w:t>Agreement:</w:t>
                            </w:r>
                          </w:p>
                          <w:p w14:paraId="30774419" w14:textId="77777777" w:rsidR="00762015" w:rsidRDefault="00762015" w:rsidP="00762015">
                            <w:pPr>
                              <w:spacing w:after="0"/>
                              <w:rPr>
                                <w:rFonts w:ascii="Times" w:eastAsia="Yu Mincho" w:hAnsi="Times"/>
                                <w:szCs w:val="24"/>
                                <w:lang w:eastAsia="ja-JP"/>
                              </w:rPr>
                            </w:pPr>
                            <w:r>
                              <w:rPr>
                                <w:rFonts w:ascii="Times" w:eastAsia="Yu Mincho" w:hAnsi="Times"/>
                                <w:szCs w:val="24"/>
                                <w:lang w:eastAsia="ja-JP"/>
                              </w:rPr>
                              <w:t>Reply to RAN2 that following per-band capabilities refer to the source band.</w:t>
                            </w:r>
                          </w:p>
                          <w:p w14:paraId="6A7C35FE"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ue-TA-Measurement-r18</w:t>
                            </w:r>
                          </w:p>
                          <w:p w14:paraId="3A3032FB"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ltm-BeamIndicationJointTCI-r18</w:t>
                            </w:r>
                          </w:p>
                          <w:p w14:paraId="66209BA0"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ltm-BeamIndicationSeparateTCI-r18</w:t>
                            </w:r>
                          </w:p>
                          <w:p w14:paraId="0BFF3E2B"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rach-EarlyTA-Measurement-r18</w:t>
                            </w:r>
                          </w:p>
                          <w:p w14:paraId="5A00A075"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ltm-MAC-CE-JointTCI-r18</w:t>
                            </w:r>
                          </w:p>
                          <w:p w14:paraId="6518821E"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ltm-MAC-CE-SeparateTCI-r18</w:t>
                            </w:r>
                          </w:p>
                          <w:p w14:paraId="69AE4810" w14:textId="7A0E21C0" w:rsidR="00762015" w:rsidRPr="00762015" w:rsidRDefault="00762015" w:rsidP="00762015">
                            <w:pPr>
                              <w:numPr>
                                <w:ilvl w:val="0"/>
                                <w:numId w:val="23"/>
                              </w:numPr>
                              <w:spacing w:after="0" w:line="254" w:lineRule="auto"/>
                              <w:rPr>
                                <w:rFonts w:ascii="Times" w:eastAsia="Yu Mincho" w:hAnsi="Times"/>
                                <w:b/>
                                <w:szCs w:val="24"/>
                                <w:lang w:eastAsia="ja-JP"/>
                              </w:rPr>
                            </w:pPr>
                            <w:r>
                              <w:rPr>
                                <w:rFonts w:ascii="Times" w:eastAsia="Yu Mincho" w:hAnsi="Times"/>
                                <w:szCs w:val="24"/>
                                <w:lang w:eastAsia="ja-JP"/>
                              </w:rPr>
                              <w:t>ta-IndicationCellSwitch-r18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45AD391"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74245254" w14:textId="77777777" w:rsidR="00762015" w:rsidRDefault="00762015" w:rsidP="00762015">
                      <w:pPr>
                        <w:spacing w:after="0"/>
                        <w:rPr>
                          <w:rFonts w:ascii="Times" w:eastAsia="Yu Mincho" w:hAnsi="Times" w:cs="Times New Roman"/>
                          <w:b/>
                          <w:bCs/>
                          <w:szCs w:val="24"/>
                          <w:highlight w:val="green"/>
                          <w:lang w:val="en-GB" w:eastAsia="ja-JP"/>
                        </w:rPr>
                      </w:pPr>
                      <w:r>
                        <w:rPr>
                          <w:rFonts w:ascii="Times" w:eastAsia="Yu Mincho" w:hAnsi="Times"/>
                          <w:b/>
                          <w:bCs/>
                          <w:szCs w:val="24"/>
                          <w:highlight w:val="green"/>
                          <w:lang w:eastAsia="ja-JP"/>
                        </w:rPr>
                        <w:t>Agreement:</w:t>
                      </w:r>
                    </w:p>
                    <w:p w14:paraId="30774419" w14:textId="77777777" w:rsidR="00762015" w:rsidRDefault="00762015" w:rsidP="00762015">
                      <w:pPr>
                        <w:spacing w:after="0"/>
                        <w:rPr>
                          <w:rFonts w:ascii="Times" w:eastAsia="Yu Mincho" w:hAnsi="Times"/>
                          <w:szCs w:val="24"/>
                          <w:lang w:eastAsia="ja-JP"/>
                        </w:rPr>
                      </w:pPr>
                      <w:r>
                        <w:rPr>
                          <w:rFonts w:ascii="Times" w:eastAsia="Yu Mincho" w:hAnsi="Times"/>
                          <w:szCs w:val="24"/>
                          <w:lang w:eastAsia="ja-JP"/>
                        </w:rPr>
                        <w:t>Reply to RAN2 that following per-band capabilities refer to the source band.</w:t>
                      </w:r>
                    </w:p>
                    <w:p w14:paraId="6A7C35FE"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ue-TA-Measurement-r18</w:t>
                      </w:r>
                    </w:p>
                    <w:p w14:paraId="3A3032FB"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ltm-BeamIndicationJointTCI-r18</w:t>
                      </w:r>
                    </w:p>
                    <w:p w14:paraId="66209BA0"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ltm-BeamIndicationSeparateTCI-r18</w:t>
                      </w:r>
                    </w:p>
                    <w:p w14:paraId="0BFF3E2B"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rach-EarlyTA-Measurement-r18</w:t>
                      </w:r>
                    </w:p>
                    <w:p w14:paraId="5A00A075"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ltm-MAC-CE-JointTCI-r18</w:t>
                      </w:r>
                    </w:p>
                    <w:p w14:paraId="6518821E" w14:textId="77777777" w:rsidR="00762015" w:rsidRDefault="00762015" w:rsidP="00762015">
                      <w:pPr>
                        <w:numPr>
                          <w:ilvl w:val="0"/>
                          <w:numId w:val="23"/>
                        </w:numPr>
                        <w:spacing w:after="0" w:line="254" w:lineRule="auto"/>
                        <w:rPr>
                          <w:rFonts w:ascii="Times" w:eastAsia="Yu Mincho" w:hAnsi="Times"/>
                          <w:szCs w:val="24"/>
                          <w:lang w:eastAsia="ja-JP"/>
                        </w:rPr>
                      </w:pPr>
                      <w:r>
                        <w:rPr>
                          <w:rFonts w:ascii="Times" w:eastAsia="Yu Mincho" w:hAnsi="Times"/>
                          <w:szCs w:val="24"/>
                          <w:lang w:eastAsia="ja-JP"/>
                        </w:rPr>
                        <w:t>ltm-MAC-CE-SeparateTCI-r18</w:t>
                      </w:r>
                    </w:p>
                    <w:p w14:paraId="69AE4810" w14:textId="7A0E21C0" w:rsidR="00762015" w:rsidRPr="00762015" w:rsidRDefault="00762015" w:rsidP="00762015">
                      <w:pPr>
                        <w:numPr>
                          <w:ilvl w:val="0"/>
                          <w:numId w:val="23"/>
                        </w:numPr>
                        <w:spacing w:after="0" w:line="254" w:lineRule="auto"/>
                        <w:rPr>
                          <w:rFonts w:ascii="Times" w:eastAsia="Yu Mincho" w:hAnsi="Times"/>
                          <w:b/>
                          <w:szCs w:val="24"/>
                          <w:lang w:eastAsia="ja-JP"/>
                        </w:rPr>
                      </w:pPr>
                      <w:r>
                        <w:rPr>
                          <w:rFonts w:ascii="Times" w:eastAsia="Yu Mincho" w:hAnsi="Times"/>
                          <w:szCs w:val="24"/>
                          <w:lang w:eastAsia="ja-JP"/>
                        </w:rPr>
                        <w:t>ta-IndicationCellSwitch-r18</w:t>
                      </w:r>
                    </w:p>
                  </w:txbxContent>
                </v:textbox>
                <w10:anchorlock/>
              </v:shape>
            </w:pict>
          </mc:Fallback>
        </mc:AlternateContent>
      </w:r>
    </w:p>
    <w:p w14:paraId="09D4A941" w14:textId="78519B87" w:rsidR="00762015" w:rsidRDefault="00762015" w:rsidP="005300E6">
      <w:pPr>
        <w:rPr>
          <w:lang w:val="en-GB" w:eastAsia="ja-JP"/>
        </w:rPr>
      </w:pPr>
      <w:r>
        <w:rPr>
          <w:lang w:val="en-GB" w:eastAsia="ja-JP"/>
        </w:rPr>
        <w:t xml:space="preserve">RAN2 has subsequently implemented this agreement in </w:t>
      </w:r>
      <w:r w:rsidR="000C226C">
        <w:rPr>
          <w:lang w:val="en-GB" w:eastAsia="ja-JP"/>
        </w:rPr>
        <w:fldChar w:fldCharType="begin"/>
      </w:r>
      <w:r w:rsidR="000C226C">
        <w:rPr>
          <w:lang w:val="en-GB" w:eastAsia="ja-JP"/>
        </w:rPr>
        <w:instrText xml:space="preserve"> REF _Ref209878172 \r \h </w:instrText>
      </w:r>
      <w:r w:rsidR="000C226C">
        <w:rPr>
          <w:lang w:val="en-GB" w:eastAsia="ja-JP"/>
        </w:rPr>
      </w:r>
      <w:r w:rsidR="000C226C">
        <w:rPr>
          <w:lang w:val="en-GB" w:eastAsia="ja-JP"/>
        </w:rPr>
        <w:fldChar w:fldCharType="separate"/>
      </w:r>
      <w:r w:rsidR="00F00334">
        <w:rPr>
          <w:lang w:val="en-GB" w:eastAsia="ja-JP"/>
        </w:rPr>
        <w:t>[3]</w:t>
      </w:r>
      <w:r w:rsidR="000C226C">
        <w:rPr>
          <w:lang w:val="en-GB" w:eastAsia="ja-JP"/>
        </w:rPr>
        <w:fldChar w:fldCharType="end"/>
      </w:r>
      <w:r>
        <w:rPr>
          <w:lang w:val="en-GB" w:eastAsia="ja-JP"/>
        </w:rPr>
        <w:t>, e.g.,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6B23" w:rsidRPr="00BC409C" w:rsidDel="00172633" w14:paraId="49286A99" w14:textId="77777777" w:rsidTr="00C92166">
        <w:trPr>
          <w:cantSplit/>
          <w:tblHeader/>
        </w:trPr>
        <w:tc>
          <w:tcPr>
            <w:tcW w:w="6917" w:type="dxa"/>
          </w:tcPr>
          <w:p w14:paraId="7EC297AC" w14:textId="77777777" w:rsidR="00716B23" w:rsidRPr="00BC409C" w:rsidRDefault="00716B23" w:rsidP="00C92166">
            <w:pPr>
              <w:pStyle w:val="TAL"/>
              <w:rPr>
                <w:b/>
                <w:i/>
              </w:rPr>
            </w:pPr>
            <w:r w:rsidRPr="00BC409C">
              <w:rPr>
                <w:b/>
                <w:i/>
              </w:rPr>
              <w:lastRenderedPageBreak/>
              <w:t>ltm-MAC-CE-JointTCI-r18</w:t>
            </w:r>
          </w:p>
          <w:p w14:paraId="0A419C98" w14:textId="77777777" w:rsidR="00716B23" w:rsidRPr="00BC409C" w:rsidRDefault="00716B23" w:rsidP="00C92166">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1221377B" w14:textId="77777777" w:rsidR="00716B23" w:rsidRPr="00BC409C" w:rsidRDefault="00716B23" w:rsidP="00C92166">
            <w:pPr>
              <w:pStyle w:val="TAL"/>
              <w:rPr>
                <w:rFonts w:cs="Arial"/>
                <w:szCs w:val="18"/>
              </w:rPr>
            </w:pPr>
            <w:r w:rsidRPr="00BC409C">
              <w:rPr>
                <w:rFonts w:cs="Arial"/>
                <w:szCs w:val="18"/>
              </w:rPr>
              <w:t>This capability comprises the following parameters:</w:t>
            </w:r>
          </w:p>
          <w:p w14:paraId="1F5A2F5F" w14:textId="77777777" w:rsidR="00716B23" w:rsidRPr="00BC409C" w:rsidRDefault="00716B23" w:rsidP="00C92166">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61D80023" w14:textId="77777777" w:rsidR="00716B23" w:rsidRPr="00BC409C" w:rsidRDefault="00716B23" w:rsidP="00C9216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368A3A7F" w14:textId="77777777" w:rsidR="00716B23" w:rsidRPr="00BC409C" w:rsidRDefault="00716B23" w:rsidP="00C92166">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6FF2F6AC" w14:textId="77777777" w:rsidR="00716B23" w:rsidRPr="00BC409C" w:rsidRDefault="00716B23" w:rsidP="00C92166">
            <w:pPr>
              <w:pStyle w:val="TAL"/>
              <w:rPr>
                <w:bCs/>
                <w:iCs/>
              </w:rPr>
            </w:pPr>
          </w:p>
          <w:p w14:paraId="56EE0AD6" w14:textId="77777777" w:rsidR="00716B23" w:rsidRPr="00BC409C" w:rsidRDefault="00716B23" w:rsidP="00C92166">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05229261" w14:textId="77777777" w:rsidR="00716B23" w:rsidRPr="00BC409C" w:rsidRDefault="00716B23" w:rsidP="00C92166">
            <w:pPr>
              <w:pStyle w:val="TAL"/>
              <w:rPr>
                <w:bCs/>
                <w:iCs/>
              </w:rPr>
            </w:pPr>
          </w:p>
          <w:p w14:paraId="1A565687" w14:textId="77777777" w:rsidR="00716B23" w:rsidRPr="00BC409C" w:rsidRDefault="00716B23" w:rsidP="00C92166">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D4230DC" w14:textId="77777777" w:rsidR="00716B23" w:rsidRPr="00BC409C" w:rsidRDefault="00716B23" w:rsidP="00C92166">
            <w:pPr>
              <w:pStyle w:val="TAL"/>
              <w:rPr>
                <w:b/>
                <w:i/>
              </w:rPr>
            </w:pPr>
            <w:r w:rsidRPr="00716B23">
              <w:rPr>
                <w:highlight w:val="yellow"/>
              </w:rPr>
              <w:t>For cross-band operation, this capability refers to the source band.</w:t>
            </w:r>
          </w:p>
        </w:tc>
        <w:tc>
          <w:tcPr>
            <w:tcW w:w="709" w:type="dxa"/>
          </w:tcPr>
          <w:p w14:paraId="6F59747C" w14:textId="77777777" w:rsidR="00716B23" w:rsidRPr="00BC409C" w:rsidRDefault="00716B23" w:rsidP="00C92166">
            <w:pPr>
              <w:pStyle w:val="TAL"/>
              <w:jc w:val="center"/>
              <w:rPr>
                <w:bCs/>
                <w:iCs/>
              </w:rPr>
            </w:pPr>
            <w:r w:rsidRPr="00BC409C">
              <w:rPr>
                <w:bCs/>
                <w:iCs/>
              </w:rPr>
              <w:t>Band</w:t>
            </w:r>
          </w:p>
        </w:tc>
        <w:tc>
          <w:tcPr>
            <w:tcW w:w="567" w:type="dxa"/>
          </w:tcPr>
          <w:p w14:paraId="55D6AFF5" w14:textId="77777777" w:rsidR="00716B23" w:rsidRPr="00BC409C" w:rsidRDefault="00716B23" w:rsidP="00C92166">
            <w:pPr>
              <w:pStyle w:val="TAL"/>
              <w:jc w:val="center"/>
            </w:pPr>
            <w:r w:rsidRPr="00BC409C">
              <w:t>No</w:t>
            </w:r>
          </w:p>
        </w:tc>
        <w:tc>
          <w:tcPr>
            <w:tcW w:w="709" w:type="dxa"/>
          </w:tcPr>
          <w:p w14:paraId="28292E09" w14:textId="77777777" w:rsidR="00716B23" w:rsidRPr="00BC409C" w:rsidRDefault="00716B23" w:rsidP="00C92166">
            <w:pPr>
              <w:pStyle w:val="TAL"/>
              <w:jc w:val="center"/>
              <w:rPr>
                <w:bCs/>
                <w:iCs/>
              </w:rPr>
            </w:pPr>
            <w:r w:rsidRPr="00BC409C">
              <w:rPr>
                <w:bCs/>
                <w:iCs/>
              </w:rPr>
              <w:t>N/A</w:t>
            </w:r>
          </w:p>
        </w:tc>
        <w:tc>
          <w:tcPr>
            <w:tcW w:w="728" w:type="dxa"/>
          </w:tcPr>
          <w:p w14:paraId="4ED7D58D" w14:textId="77777777" w:rsidR="00716B23" w:rsidRPr="00BC409C" w:rsidRDefault="00716B23" w:rsidP="00C92166">
            <w:pPr>
              <w:pStyle w:val="TAL"/>
              <w:jc w:val="center"/>
              <w:rPr>
                <w:bCs/>
                <w:iCs/>
              </w:rPr>
            </w:pPr>
            <w:r w:rsidRPr="00BC409C">
              <w:rPr>
                <w:bCs/>
                <w:iCs/>
              </w:rPr>
              <w:t>N/A</w:t>
            </w:r>
          </w:p>
        </w:tc>
      </w:tr>
    </w:tbl>
    <w:p w14:paraId="620EC9B0" w14:textId="227AF8A1" w:rsidR="00063DD4" w:rsidRDefault="00063DD4" w:rsidP="005300E6">
      <w:pPr>
        <w:rPr>
          <w:lang w:val="en-GB" w:eastAsia="ja-JP"/>
        </w:rPr>
      </w:pPr>
    </w:p>
    <w:p w14:paraId="4752262D" w14:textId="52E280E9" w:rsidR="005300E6" w:rsidRPr="005300E6" w:rsidRDefault="00716B23" w:rsidP="005300E6">
      <w:pPr>
        <w:rPr>
          <w:lang w:val="en-GB" w:eastAsia="ja-JP"/>
        </w:rPr>
      </w:pPr>
      <w:r>
        <w:rPr>
          <w:lang w:val="en-GB" w:eastAsia="ja-JP"/>
        </w:rPr>
        <w:t>However, this</w:t>
      </w:r>
      <w:r w:rsidR="000C226C">
        <w:rPr>
          <w:lang w:val="en-GB" w:eastAsia="ja-JP"/>
        </w:rPr>
        <w:t xml:space="preserve"> </w:t>
      </w:r>
      <w:r w:rsidR="00063DD4">
        <w:rPr>
          <w:lang w:val="en-GB" w:eastAsia="ja-JP"/>
        </w:rPr>
        <w:t>definition</w:t>
      </w:r>
      <w:r>
        <w:rPr>
          <w:lang w:val="en-GB" w:eastAsia="ja-JP"/>
        </w:rPr>
        <w:t xml:space="preserve"> turns out to be problematic, due to the way handovers are performed.</w:t>
      </w:r>
      <w:r w:rsidR="008B4960">
        <w:rPr>
          <w:lang w:val="en-GB" w:eastAsia="ja-JP"/>
        </w:rPr>
        <w:t xml:space="preserve"> </w:t>
      </w:r>
      <w:r w:rsidR="005300E6" w:rsidRPr="005300E6">
        <w:rPr>
          <w:lang w:val="en-GB" w:eastAsia="ja-JP"/>
        </w:rPr>
        <w:t>In handovers, the configuration of the target cell is built by the target DU</w:t>
      </w:r>
      <w:r>
        <w:rPr>
          <w:lang w:val="en-GB" w:eastAsia="ja-JP"/>
        </w:rPr>
        <w:t xml:space="preserve">. The target DU sends the configuration </w:t>
      </w:r>
      <w:r w:rsidR="005300E6" w:rsidRPr="005300E6">
        <w:rPr>
          <w:lang w:val="en-GB" w:eastAsia="ja-JP"/>
        </w:rPr>
        <w:t>to the CU</w:t>
      </w:r>
      <w:r>
        <w:rPr>
          <w:lang w:val="en-GB" w:eastAsia="ja-JP"/>
        </w:rPr>
        <w:t xml:space="preserve">, which then </w:t>
      </w:r>
      <w:r w:rsidR="00E604B1">
        <w:rPr>
          <w:lang w:val="en-GB" w:eastAsia="ja-JP"/>
        </w:rPr>
        <w:t xml:space="preserve">forwards </w:t>
      </w:r>
      <w:r w:rsidR="005300E6" w:rsidRPr="005300E6">
        <w:rPr>
          <w:lang w:val="en-GB" w:eastAsia="ja-JP"/>
        </w:rPr>
        <w:t xml:space="preserve">the target configuration to the UE in the handover command. The typical case is that the target DU provides a ‘full configuration’, which means that </w:t>
      </w:r>
      <w:r>
        <w:rPr>
          <w:lang w:val="en-GB" w:eastAsia="ja-JP"/>
        </w:rPr>
        <w:t xml:space="preserve">the target DU </w:t>
      </w:r>
      <w:r w:rsidR="005300E6" w:rsidRPr="005300E6">
        <w:rPr>
          <w:lang w:val="en-GB" w:eastAsia="ja-JP"/>
        </w:rPr>
        <w:t xml:space="preserve">only bases the configuration on the capabilities of the UE and </w:t>
      </w:r>
      <w:r w:rsidR="005300E6">
        <w:rPr>
          <w:lang w:val="en-GB" w:eastAsia="ja-JP"/>
        </w:rPr>
        <w:t>the capabilities of the target DU/cell</w:t>
      </w:r>
      <w:r w:rsidR="005300E6" w:rsidRPr="005300E6">
        <w:rPr>
          <w:lang w:val="en-GB" w:eastAsia="ja-JP"/>
        </w:rPr>
        <w:t>: the properties of the source DU/cell do not matter. This is a quite natural solution – why should the source configuration impact how the UE can be configured in the target cell?</w:t>
      </w:r>
    </w:p>
    <w:p w14:paraId="700F78DD" w14:textId="40D12B9E" w:rsidR="00E604B1" w:rsidRDefault="005300E6" w:rsidP="002953F9">
      <w:pPr>
        <w:rPr>
          <w:lang w:val="en-GB" w:eastAsia="ja-JP"/>
        </w:rPr>
      </w:pPr>
      <w:r w:rsidRPr="005300E6">
        <w:rPr>
          <w:lang w:val="en-GB" w:eastAsia="ja-JP"/>
        </w:rPr>
        <w:t xml:space="preserve">As it turns out, this ‘full config’ option is not possible with </w:t>
      </w:r>
      <w:r w:rsidR="002953F9">
        <w:rPr>
          <w:lang w:val="en-GB" w:eastAsia="ja-JP"/>
        </w:rPr>
        <w:t xml:space="preserve">inter-frequency LTM, where the source and target cells are in different bands, </w:t>
      </w:r>
      <w:r w:rsidR="00716B23">
        <w:rPr>
          <w:lang w:val="en-GB" w:eastAsia="ja-JP"/>
        </w:rPr>
        <w:t xml:space="preserve">due to the agreement included in the </w:t>
      </w:r>
      <w:proofErr w:type="gramStart"/>
      <w:r w:rsidR="00716B23">
        <w:rPr>
          <w:lang w:val="en-GB" w:eastAsia="ja-JP"/>
        </w:rPr>
        <w:t>reply</w:t>
      </w:r>
      <w:proofErr w:type="gramEnd"/>
      <w:r w:rsidR="00716B23">
        <w:rPr>
          <w:lang w:val="en-GB" w:eastAsia="ja-JP"/>
        </w:rPr>
        <w:t xml:space="preserve"> LS</w:t>
      </w:r>
      <w:r w:rsidR="008B4960">
        <w:rPr>
          <w:lang w:val="en-GB" w:eastAsia="ja-JP"/>
        </w:rPr>
        <w:t xml:space="preserve"> </w:t>
      </w:r>
      <w:r w:rsidR="008B4960">
        <w:rPr>
          <w:lang w:val="en-GB" w:eastAsia="ja-JP"/>
        </w:rPr>
        <w:fldChar w:fldCharType="begin"/>
      </w:r>
      <w:r w:rsidR="008B4960">
        <w:rPr>
          <w:lang w:val="en-GB" w:eastAsia="ja-JP"/>
        </w:rPr>
        <w:instrText xml:space="preserve"> REF _Ref209875035 \r \h </w:instrText>
      </w:r>
      <w:r w:rsidR="008B4960">
        <w:rPr>
          <w:lang w:val="en-GB" w:eastAsia="ja-JP"/>
        </w:rPr>
      </w:r>
      <w:r w:rsidR="008B4960">
        <w:rPr>
          <w:lang w:val="en-GB" w:eastAsia="ja-JP"/>
        </w:rPr>
        <w:fldChar w:fldCharType="separate"/>
      </w:r>
      <w:r w:rsidR="00F00334">
        <w:rPr>
          <w:lang w:val="en-GB" w:eastAsia="ja-JP"/>
        </w:rPr>
        <w:t>[1]</w:t>
      </w:r>
      <w:r w:rsidR="008B4960">
        <w:rPr>
          <w:lang w:val="en-GB" w:eastAsia="ja-JP"/>
        </w:rPr>
        <w:fldChar w:fldCharType="end"/>
      </w:r>
      <w:r w:rsidR="00E604B1">
        <w:rPr>
          <w:lang w:val="en-GB" w:eastAsia="ja-JP"/>
        </w:rPr>
        <w:t xml:space="preserve">. </w:t>
      </w:r>
      <w:r w:rsidR="00E604B1" w:rsidRPr="005300E6">
        <w:rPr>
          <w:lang w:val="en-GB" w:eastAsia="ja-JP"/>
        </w:rPr>
        <w:t>The problem is that when the target DU prepares the configuration, the target DU cannot check the UE capabilities against the configuration it prepares, since the capabilities depend on the band of the serving cell. With the definition that the UE capabilities are defined for the source band, the ‘full config’ option cannot be directly used</w:t>
      </w:r>
      <w:r w:rsidR="00E604B1">
        <w:rPr>
          <w:lang w:val="en-GB" w:eastAsia="ja-JP"/>
        </w:rPr>
        <w:t>:</w:t>
      </w:r>
    </w:p>
    <w:p w14:paraId="047F9F73" w14:textId="1AA2FBA0" w:rsidR="005300E6" w:rsidRPr="00E604B1" w:rsidRDefault="00E604B1" w:rsidP="005300E6">
      <w:pPr>
        <w:pStyle w:val="Observation"/>
        <w:rPr>
          <w:lang w:val="en-GB"/>
        </w:rPr>
      </w:pPr>
      <w:bookmarkStart w:id="1" w:name="_Toc210053542"/>
      <w:r>
        <w:rPr>
          <w:lang w:val="en-GB"/>
        </w:rPr>
        <w:t xml:space="preserve">The ‘full config’ option is not available in </w:t>
      </w:r>
      <w:r w:rsidR="00CE587B">
        <w:rPr>
          <w:lang w:val="en-GB"/>
        </w:rPr>
        <w:t xml:space="preserve">inter-band </w:t>
      </w:r>
      <w:r>
        <w:rPr>
          <w:lang w:val="en-GB"/>
        </w:rPr>
        <w:t>LTM, due to the way RAN1 has defined the capabilities.</w:t>
      </w:r>
      <w:bookmarkEnd w:id="1"/>
    </w:p>
    <w:p w14:paraId="598F7ABE" w14:textId="41D74B2B" w:rsidR="008B7E91" w:rsidRDefault="005300E6" w:rsidP="005300E6">
      <w:pPr>
        <w:rPr>
          <w:lang w:val="en-GB" w:eastAsia="ja-JP"/>
        </w:rPr>
      </w:pPr>
      <w:r w:rsidRPr="005300E6">
        <w:rPr>
          <w:lang w:val="en-GB" w:eastAsia="ja-JP"/>
        </w:rPr>
        <w:t>When looking at the capabilities</w:t>
      </w:r>
      <w:r w:rsidR="00E604B1">
        <w:rPr>
          <w:lang w:val="en-GB" w:eastAsia="ja-JP"/>
        </w:rPr>
        <w:t xml:space="preserve"> included in the LS</w:t>
      </w:r>
      <w:r w:rsidRPr="005300E6">
        <w:rPr>
          <w:lang w:val="en-GB" w:eastAsia="ja-JP"/>
        </w:rPr>
        <w:t xml:space="preserve">, it </w:t>
      </w:r>
      <w:r w:rsidR="00E604B1">
        <w:rPr>
          <w:lang w:val="en-GB" w:eastAsia="ja-JP"/>
        </w:rPr>
        <w:t xml:space="preserve">is </w:t>
      </w:r>
      <w:r w:rsidRPr="005300E6">
        <w:rPr>
          <w:lang w:val="en-GB" w:eastAsia="ja-JP"/>
        </w:rPr>
        <w:t>strik</w:t>
      </w:r>
      <w:r w:rsidR="00E604B1">
        <w:rPr>
          <w:lang w:val="en-GB" w:eastAsia="ja-JP"/>
        </w:rPr>
        <w:t>ing</w:t>
      </w:r>
      <w:r w:rsidRPr="005300E6">
        <w:rPr>
          <w:lang w:val="en-GB" w:eastAsia="ja-JP"/>
        </w:rPr>
        <w:t xml:space="preserve"> that they are very much</w:t>
      </w:r>
      <w:r w:rsidR="008B7E91">
        <w:rPr>
          <w:lang w:val="en-GB" w:eastAsia="ja-JP"/>
        </w:rPr>
        <w:t xml:space="preserve"> associated with</w:t>
      </w:r>
      <w:r w:rsidRPr="005300E6">
        <w:rPr>
          <w:lang w:val="en-GB" w:eastAsia="ja-JP"/>
        </w:rPr>
        <w:t xml:space="preserve"> the target/candidate</w:t>
      </w:r>
      <w:r w:rsidR="00E604B1">
        <w:rPr>
          <w:lang w:val="en-GB" w:eastAsia="ja-JP"/>
        </w:rPr>
        <w:t xml:space="preserve"> cell, rather than the source cell</w:t>
      </w:r>
      <w:r w:rsidRPr="005300E6">
        <w:rPr>
          <w:lang w:val="en-GB" w:eastAsia="ja-JP"/>
        </w:rPr>
        <w:t xml:space="preserve">. For example, the supported QCL sources is related to the target, not to the source. </w:t>
      </w:r>
      <w:r w:rsidR="008B7E91" w:rsidRPr="005300E6">
        <w:rPr>
          <w:lang w:val="en-GB" w:eastAsia="ja-JP"/>
        </w:rPr>
        <w:t>So,</w:t>
      </w:r>
      <w:r w:rsidRPr="005300E6">
        <w:rPr>
          <w:lang w:val="en-GB" w:eastAsia="ja-JP"/>
        </w:rPr>
        <w:t xml:space="preserve"> when the UE signals the capabilities (for a source band), it must be applicable to </w:t>
      </w:r>
      <w:r w:rsidRPr="008B7E91">
        <w:rPr>
          <w:i/>
          <w:iCs/>
          <w:lang w:val="en-GB" w:eastAsia="ja-JP"/>
        </w:rPr>
        <w:t>all</w:t>
      </w:r>
      <w:r w:rsidRPr="005300E6">
        <w:rPr>
          <w:lang w:val="en-GB" w:eastAsia="ja-JP"/>
        </w:rPr>
        <w:t xml:space="preserve"> target bands where the UE supports LTM</w:t>
      </w:r>
      <w:r w:rsidR="008B7E91">
        <w:rPr>
          <w:lang w:val="en-GB" w:eastAsia="ja-JP"/>
        </w:rPr>
        <w:t>:</w:t>
      </w:r>
    </w:p>
    <w:p w14:paraId="0336DF02" w14:textId="13C88F48" w:rsidR="008B7E91" w:rsidRPr="00E604B1" w:rsidRDefault="008B7E91" w:rsidP="008B7E91">
      <w:pPr>
        <w:pStyle w:val="Observation"/>
        <w:rPr>
          <w:lang w:val="en-GB"/>
        </w:rPr>
      </w:pPr>
      <w:bookmarkStart w:id="2" w:name="_Toc210053543"/>
      <w:r>
        <w:rPr>
          <w:lang w:val="en-GB"/>
        </w:rPr>
        <w:t>The capability reported for a source band must be applicable to all target bands where the UE supports LTM.</w:t>
      </w:r>
      <w:bookmarkEnd w:id="2"/>
      <w:r>
        <w:rPr>
          <w:lang w:val="en-GB"/>
        </w:rPr>
        <w:t xml:space="preserve"> </w:t>
      </w:r>
    </w:p>
    <w:p w14:paraId="08ECF41F" w14:textId="31DC7D8F" w:rsidR="008B7E91" w:rsidRDefault="008B7E91" w:rsidP="005300E6">
      <w:pPr>
        <w:rPr>
          <w:lang w:val="en-GB" w:eastAsia="ja-JP"/>
        </w:rPr>
      </w:pPr>
      <w:r>
        <w:rPr>
          <w:lang w:val="en-GB" w:eastAsia="ja-JP"/>
        </w:rPr>
        <w:t xml:space="preserve">Since the capabilities must be applicable to any target, </w:t>
      </w:r>
      <w:proofErr w:type="gramStart"/>
      <w:r>
        <w:rPr>
          <w:lang w:val="en-GB" w:eastAsia="ja-JP"/>
        </w:rPr>
        <w:t>it would seem that the</w:t>
      </w:r>
      <w:proofErr w:type="gramEnd"/>
      <w:r>
        <w:rPr>
          <w:lang w:val="en-GB" w:eastAsia="ja-JP"/>
        </w:rPr>
        <w:t xml:space="preserve"> UE in practice would always report the same values, at least within a frequency range. In this case, this restriction could be captured in 38.306, which would imply that the target DU could check the UE capabilities for the target band, rather than the source band. This would make it possible to use the ‘full config’ option also for inter-band LTM:</w:t>
      </w:r>
    </w:p>
    <w:p w14:paraId="66337988" w14:textId="6BC35223" w:rsidR="008B7E91" w:rsidRPr="00E604B1" w:rsidRDefault="008B7E91" w:rsidP="008B7E91">
      <w:pPr>
        <w:pStyle w:val="Observation"/>
        <w:rPr>
          <w:lang w:val="en-GB"/>
        </w:rPr>
      </w:pPr>
      <w:bookmarkStart w:id="3" w:name="_Toc210053544"/>
      <w:r>
        <w:rPr>
          <w:lang w:val="en-GB"/>
        </w:rPr>
        <w:t xml:space="preserve">If the target DU knows that the capabilities are the same for the source and the target bands, the target DU can check the UE </w:t>
      </w:r>
      <w:r w:rsidR="000C226C">
        <w:rPr>
          <w:lang w:val="en-GB"/>
        </w:rPr>
        <w:t>capabilities for the target band and use the ‘full config’ option.</w:t>
      </w:r>
      <w:bookmarkEnd w:id="3"/>
      <w:r>
        <w:rPr>
          <w:lang w:val="en-GB"/>
        </w:rPr>
        <w:t xml:space="preserve"> </w:t>
      </w:r>
    </w:p>
    <w:p w14:paraId="50BC631B" w14:textId="3F17ED33" w:rsidR="00063DD4" w:rsidRDefault="00063DD4" w:rsidP="00063DD4">
      <w:pPr>
        <w:rPr>
          <w:lang w:val="en-GB" w:eastAsia="ja-JP"/>
        </w:rPr>
      </w:pPr>
      <w:r>
        <w:rPr>
          <w:lang w:val="en-GB" w:eastAsia="ja-JP"/>
        </w:rPr>
        <w:t xml:space="preserve">Note that this is only important for the capabilities where the </w:t>
      </w:r>
      <w:r w:rsidRPr="00063DD4">
        <w:rPr>
          <w:lang w:val="en-GB" w:eastAsia="ja-JP"/>
        </w:rPr>
        <w:t xml:space="preserve">target </w:t>
      </w:r>
      <w:r>
        <w:rPr>
          <w:lang w:val="en-GB" w:eastAsia="ja-JP"/>
        </w:rPr>
        <w:t>checks the configuration. For</w:t>
      </w:r>
      <w:r w:rsidRPr="00063DD4">
        <w:t xml:space="preserve"> </w:t>
      </w:r>
      <w:r w:rsidRPr="00063DD4">
        <w:rPr>
          <w:lang w:val="en-GB" w:eastAsia="ja-JP"/>
        </w:rPr>
        <w:t>ue-TA-Measurement-r18</w:t>
      </w:r>
      <w:r>
        <w:rPr>
          <w:lang w:val="en-GB" w:eastAsia="ja-JP"/>
        </w:rPr>
        <w:t>,</w:t>
      </w:r>
      <w:r w:rsidRPr="00063DD4">
        <w:rPr>
          <w:lang w:val="en-GB" w:eastAsia="ja-JP"/>
        </w:rPr>
        <w:tab/>
        <w:t>rach-EarlyTA-Measurement-r18</w:t>
      </w:r>
      <w:r>
        <w:rPr>
          <w:lang w:val="en-GB" w:eastAsia="ja-JP"/>
        </w:rPr>
        <w:t xml:space="preserve"> and </w:t>
      </w:r>
      <w:r w:rsidRPr="00063DD4">
        <w:rPr>
          <w:lang w:val="en-GB" w:eastAsia="ja-JP"/>
        </w:rPr>
        <w:t>ta-IndicationCellSwitch-r18</w:t>
      </w:r>
      <w:r>
        <w:rPr>
          <w:lang w:val="en-GB" w:eastAsia="ja-JP"/>
        </w:rPr>
        <w:t xml:space="preserve">, the configuration can be checked by the source. </w:t>
      </w:r>
    </w:p>
    <w:p w14:paraId="3AB3338B" w14:textId="21C6799F" w:rsidR="008B7E91" w:rsidRDefault="00582FD7" w:rsidP="005300E6">
      <w:pPr>
        <w:rPr>
          <w:lang w:val="en-GB" w:eastAsia="ja-JP"/>
        </w:rPr>
      </w:pPr>
      <w:r>
        <w:rPr>
          <w:lang w:val="en-GB" w:eastAsia="ja-JP"/>
        </w:rPr>
        <w:t>W</w:t>
      </w:r>
      <w:r w:rsidR="000C226C">
        <w:rPr>
          <w:lang w:val="en-GB" w:eastAsia="ja-JP"/>
        </w:rPr>
        <w:t xml:space="preserve">e propose to send an LS to RAN2 to </w:t>
      </w:r>
      <w:r>
        <w:rPr>
          <w:lang w:val="en-GB" w:eastAsia="ja-JP"/>
        </w:rPr>
        <w:t>introduce a restriction for the relevant capabilities:</w:t>
      </w:r>
    </w:p>
    <w:p w14:paraId="43868DD8" w14:textId="599C5300" w:rsidR="000C226C" w:rsidRDefault="008C3753" w:rsidP="00B00B2C">
      <w:pPr>
        <w:pStyle w:val="Proposal"/>
      </w:pPr>
      <w:bookmarkStart w:id="4" w:name="_Toc210053545"/>
      <w:r>
        <w:t xml:space="preserve">Send an LS to RAN2, asking them to state that the UE reports the same value for </w:t>
      </w:r>
      <w:r w:rsidR="008A218E">
        <w:t>all bands in an FR for the capabilities</w:t>
      </w:r>
      <w:r w:rsidR="000C226C">
        <w:t xml:space="preserve"> ltm-BeamIndicationJointTCI-r18, ltm-BeamIndicationSeparateTCI-r18, ltm-MAC-CE-JointTCI-r18,</w:t>
      </w:r>
      <w:r w:rsidR="00582FD7">
        <w:t xml:space="preserve"> and</w:t>
      </w:r>
      <w:r w:rsidR="000C226C">
        <w:t xml:space="preserve"> ltm-MAC-CE-SeparateTCI-r18</w:t>
      </w:r>
      <w:r w:rsidR="00582FD7">
        <w:t>.</w:t>
      </w:r>
      <w:bookmarkEnd w:id="4"/>
    </w:p>
    <w:p w14:paraId="0D171B7B" w14:textId="7061DCA0" w:rsidR="00582FD7" w:rsidRDefault="00582FD7" w:rsidP="00582FD7">
      <w:r>
        <w:lastRenderedPageBreak/>
        <w:t>Note that it is sufficient to introduce this restriction per FR.</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B60589" w14:textId="77777777" w:rsidR="00F00334"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053542" w:history="1">
        <w:r w:rsidR="00F00334" w:rsidRPr="00444369">
          <w:rPr>
            <w:rStyle w:val="Hyperlink"/>
            <w:noProof/>
            <w:lang w:val="en-GB"/>
          </w:rPr>
          <w:t>Observation 1</w:t>
        </w:r>
        <w:r w:rsidR="00F00334">
          <w:rPr>
            <w:rFonts w:asciiTheme="minorHAnsi" w:eastAsiaTheme="minorEastAsia" w:hAnsiTheme="minorHAnsi"/>
            <w:b w:val="0"/>
            <w:noProof/>
            <w:kern w:val="2"/>
            <w:sz w:val="24"/>
            <w:szCs w:val="24"/>
            <w:lang w:val="en-SE" w:eastAsia="en-SE"/>
            <w14:ligatures w14:val="standardContextual"/>
          </w:rPr>
          <w:tab/>
        </w:r>
        <w:r w:rsidR="00F00334" w:rsidRPr="00444369">
          <w:rPr>
            <w:rStyle w:val="Hyperlink"/>
            <w:noProof/>
            <w:lang w:val="en-GB"/>
          </w:rPr>
          <w:t>The ‘full config’ option is not available in inter-band LTM, due to the way RAN1 has defined the capabilities.</w:t>
        </w:r>
      </w:hyperlink>
    </w:p>
    <w:p w14:paraId="2EFF348F" w14:textId="77777777" w:rsidR="00F00334" w:rsidRDefault="00F003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3543" w:history="1">
        <w:r w:rsidRPr="00444369">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444369">
          <w:rPr>
            <w:rStyle w:val="Hyperlink"/>
            <w:noProof/>
            <w:lang w:val="en-GB"/>
          </w:rPr>
          <w:t>The capability reported for a source band must be applicable to all target bands where the UE supports LTM.</w:t>
        </w:r>
      </w:hyperlink>
    </w:p>
    <w:p w14:paraId="0F9018FC" w14:textId="77777777" w:rsidR="00F00334" w:rsidRDefault="00F00334">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053544" w:history="1">
        <w:r w:rsidRPr="00444369">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444369">
          <w:rPr>
            <w:rStyle w:val="Hyperlink"/>
            <w:noProof/>
            <w:lang w:val="en-GB"/>
          </w:rPr>
          <w:t>If the target DU knows that the capabilities are the same for the source and the target bands, the target DU can check the UE capabilities for the target band and use the ‘full config’ option.</w:t>
        </w:r>
      </w:hyperlink>
    </w:p>
    <w:p w14:paraId="6225A1B8" w14:textId="7ACC6CDA" w:rsidR="006E1C82" w:rsidRPr="00C13233"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8211DE1" w14:textId="3D353E7C" w:rsidR="00F00334"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053545" w:history="1">
        <w:r w:rsidR="00F00334" w:rsidRPr="00DB701D">
          <w:rPr>
            <w:rStyle w:val="Hyperlink"/>
            <w:noProof/>
          </w:rPr>
          <w:t>Proposal 1</w:t>
        </w:r>
        <w:r w:rsidR="00F00334">
          <w:rPr>
            <w:rFonts w:asciiTheme="minorHAnsi" w:eastAsiaTheme="minorEastAsia" w:hAnsiTheme="minorHAnsi"/>
            <w:b w:val="0"/>
            <w:noProof/>
            <w:kern w:val="2"/>
            <w:sz w:val="24"/>
            <w:szCs w:val="24"/>
            <w:lang w:val="en-SE" w:eastAsia="en-SE"/>
            <w14:ligatures w14:val="standardContextual"/>
          </w:rPr>
          <w:tab/>
        </w:r>
        <w:r w:rsidR="00F00334" w:rsidRPr="00DB701D">
          <w:rPr>
            <w:rStyle w:val="Hyperlink"/>
            <w:noProof/>
          </w:rPr>
          <w:t>Send an LS to RAN2, asking them to state that the UE reports the same value for all bands in an FR for the capabilities ltm-BeamIndicationJointTCI-r18, ltm-BeamIndicationSeparateTCI-r18, ltm-MAC-CE-JointTCI-r18, and ltm-MAC-CE-SeparateTCI-r18.</w:t>
        </w:r>
      </w:hyperlink>
    </w:p>
    <w:p w14:paraId="58ACA235" w14:textId="698403CC" w:rsidR="00C01F33" w:rsidRPr="00CE0424" w:rsidRDefault="006E1C82" w:rsidP="000C226C">
      <w:pPr>
        <w:pStyle w:val="BodyText"/>
      </w:pPr>
      <w:r>
        <w:rPr>
          <w:b/>
          <w:bCs/>
        </w:rPr>
        <w:fldChar w:fldCharType="end"/>
      </w:r>
    </w:p>
    <w:p w14:paraId="71D79D99" w14:textId="77777777" w:rsidR="00F507D1" w:rsidRPr="00CE0424" w:rsidRDefault="00F507D1" w:rsidP="00CE0424">
      <w:pPr>
        <w:pStyle w:val="Heading1"/>
      </w:pPr>
      <w:r w:rsidRPr="00CE0424">
        <w:t>References</w:t>
      </w:r>
    </w:p>
    <w:p w14:paraId="77C5E852" w14:textId="0EAD375A" w:rsidR="005F3025" w:rsidRPr="00762015" w:rsidRDefault="00E6737C" w:rsidP="00311702">
      <w:pPr>
        <w:pStyle w:val="Reference"/>
      </w:pPr>
      <w:bookmarkStart w:id="5" w:name="_Ref209875035"/>
      <w:bookmarkStart w:id="6" w:name="_Ref174151459"/>
      <w:bookmarkStart w:id="7" w:name="_Ref189809556"/>
      <w:r w:rsidRPr="00E6737C">
        <w:rPr>
          <w:lang w:val="en-SE"/>
        </w:rPr>
        <w:t>R1-2501390</w:t>
      </w:r>
      <w:r>
        <w:rPr>
          <w:lang w:val="en-SE"/>
        </w:rPr>
        <w:t xml:space="preserve">, </w:t>
      </w:r>
      <w:r w:rsidR="00C5763A" w:rsidRPr="00C5763A">
        <w:rPr>
          <w:lang w:val="en-SE"/>
        </w:rPr>
        <w:t>LS on Rel-18 RAN1 UE features list for NR after RAN1#120</w:t>
      </w:r>
      <w:r w:rsidR="00762015">
        <w:rPr>
          <w:lang w:val="en-SE"/>
        </w:rPr>
        <w:t>, RAN1, RAN1#120, February 2025</w:t>
      </w:r>
      <w:bookmarkEnd w:id="5"/>
    </w:p>
    <w:p w14:paraId="3BE63B06" w14:textId="1D4C1F0A" w:rsidR="00762015" w:rsidRPr="00CE0424" w:rsidRDefault="00762015" w:rsidP="00311702">
      <w:pPr>
        <w:pStyle w:val="Reference"/>
      </w:pPr>
      <w:bookmarkStart w:id="8" w:name="_Ref209875180"/>
      <w:r w:rsidRPr="00762015">
        <w:rPr>
          <w:bCs/>
          <w:iCs/>
        </w:rPr>
        <w:t>R1-2500010</w:t>
      </w:r>
      <w:r>
        <w:rPr>
          <w:bCs/>
          <w:iCs/>
        </w:rPr>
        <w:t xml:space="preserve">, </w:t>
      </w:r>
      <w:r w:rsidRPr="00762015">
        <w:rPr>
          <w:bCs/>
          <w:iCs/>
        </w:rPr>
        <w:t>LS on LTM UE capabilities for cross-band operation</w:t>
      </w:r>
      <w:r>
        <w:rPr>
          <w:bCs/>
          <w:iCs/>
        </w:rPr>
        <w:t xml:space="preserve">, RAN2, RAN1#120, </w:t>
      </w:r>
      <w:r>
        <w:rPr>
          <w:lang w:val="en-SE"/>
        </w:rPr>
        <w:t>February 2025</w:t>
      </w:r>
      <w:bookmarkEnd w:id="8"/>
    </w:p>
    <w:p w14:paraId="715CA09B" w14:textId="50A01847" w:rsidR="003A7EF3" w:rsidRPr="00CE0424" w:rsidRDefault="000C226C" w:rsidP="00966E19">
      <w:pPr>
        <w:pStyle w:val="Reference"/>
      </w:pPr>
      <w:bookmarkStart w:id="9" w:name="_Ref209878172"/>
      <w:r>
        <w:t xml:space="preserve">TS </w:t>
      </w:r>
      <w:r w:rsidRPr="000C226C">
        <w:t>38.306</w:t>
      </w:r>
      <w:r>
        <w:t>, NR; User Equipment (UE) radio access capabilities, RAN#108, V18.6.0, June</w:t>
      </w:r>
      <w:bookmarkEnd w:id="6"/>
      <w:bookmarkEnd w:id="7"/>
      <w:r>
        <w:t xml:space="preserve"> 2025</w:t>
      </w:r>
      <w:bookmarkEnd w:id="9"/>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89233" w14:textId="77777777" w:rsidR="00022D40" w:rsidRDefault="00022D40">
      <w:r>
        <w:separator/>
      </w:r>
    </w:p>
  </w:endnote>
  <w:endnote w:type="continuationSeparator" w:id="0">
    <w:p w14:paraId="5D78ADF8" w14:textId="77777777" w:rsidR="00022D40" w:rsidRDefault="00022D40">
      <w:r>
        <w:continuationSeparator/>
      </w:r>
    </w:p>
  </w:endnote>
  <w:endnote w:type="continuationNotice" w:id="1">
    <w:p w14:paraId="786041D2" w14:textId="77777777" w:rsidR="00022D40" w:rsidRDefault="00022D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C4FF3" w14:textId="77777777" w:rsidR="00022D40" w:rsidRDefault="00022D40">
      <w:r>
        <w:separator/>
      </w:r>
    </w:p>
  </w:footnote>
  <w:footnote w:type="continuationSeparator" w:id="0">
    <w:p w14:paraId="5828E53B" w14:textId="77777777" w:rsidR="00022D40" w:rsidRDefault="00022D40">
      <w:r>
        <w:continuationSeparator/>
      </w:r>
    </w:p>
  </w:footnote>
  <w:footnote w:type="continuationNotice" w:id="1">
    <w:p w14:paraId="7295D91E" w14:textId="77777777" w:rsidR="00022D40" w:rsidRDefault="00022D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98560852">
    <w:abstractNumId w:val="3"/>
  </w:num>
  <w:num w:numId="2" w16cid:durableId="493955316">
    <w:abstractNumId w:val="15"/>
  </w:num>
  <w:num w:numId="3" w16cid:durableId="1349257284">
    <w:abstractNumId w:val="11"/>
  </w:num>
  <w:num w:numId="4" w16cid:durableId="730153044">
    <w:abstractNumId w:val="12"/>
  </w:num>
  <w:num w:numId="5" w16cid:durableId="1223977619">
    <w:abstractNumId w:val="8"/>
  </w:num>
  <w:num w:numId="6" w16cid:durableId="1982270565">
    <w:abstractNumId w:val="14"/>
  </w:num>
  <w:num w:numId="7" w16cid:durableId="42214450">
    <w:abstractNumId w:val="18"/>
  </w:num>
  <w:num w:numId="8" w16cid:durableId="1045830660">
    <w:abstractNumId w:val="9"/>
  </w:num>
  <w:num w:numId="9" w16cid:durableId="1920678760">
    <w:abstractNumId w:val="7"/>
  </w:num>
  <w:num w:numId="10" w16cid:durableId="1443456286">
    <w:abstractNumId w:val="2"/>
  </w:num>
  <w:num w:numId="11" w16cid:durableId="139034435">
    <w:abstractNumId w:val="1"/>
  </w:num>
  <w:num w:numId="12" w16cid:durableId="1455755560">
    <w:abstractNumId w:val="0"/>
  </w:num>
  <w:num w:numId="13" w16cid:durableId="890460132">
    <w:abstractNumId w:val="16"/>
  </w:num>
  <w:num w:numId="14" w16cid:durableId="583606529">
    <w:abstractNumId w:val="17"/>
  </w:num>
  <w:num w:numId="15" w16cid:durableId="1505852359">
    <w:abstractNumId w:val="13"/>
  </w:num>
  <w:num w:numId="16" w16cid:durableId="738017909">
    <w:abstractNumId w:val="19"/>
  </w:num>
  <w:num w:numId="17" w16cid:durableId="130221214">
    <w:abstractNumId w:val="5"/>
  </w:num>
  <w:num w:numId="18" w16cid:durableId="450562996">
    <w:abstractNumId w:val="6"/>
  </w:num>
  <w:num w:numId="19" w16cid:durableId="772214637">
    <w:abstractNumId w:val="4"/>
  </w:num>
  <w:num w:numId="20" w16cid:durableId="1500537096">
    <w:abstractNumId w:val="21"/>
  </w:num>
  <w:num w:numId="21" w16cid:durableId="173231599">
    <w:abstractNumId w:val="10"/>
  </w:num>
  <w:num w:numId="22" w16cid:durableId="755903588">
    <w:abstractNumId w:val="20"/>
  </w:num>
  <w:num w:numId="23" w16cid:durableId="147063435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C5"/>
    <w:rsid w:val="00002A37"/>
    <w:rsid w:val="0000564C"/>
    <w:rsid w:val="00006446"/>
    <w:rsid w:val="00006896"/>
    <w:rsid w:val="00007CDC"/>
    <w:rsid w:val="00011B28"/>
    <w:rsid w:val="00015D15"/>
    <w:rsid w:val="00022D40"/>
    <w:rsid w:val="0002564D"/>
    <w:rsid w:val="00025ECA"/>
    <w:rsid w:val="000325B8"/>
    <w:rsid w:val="00034C15"/>
    <w:rsid w:val="00036BA1"/>
    <w:rsid w:val="000422E2"/>
    <w:rsid w:val="00042F22"/>
    <w:rsid w:val="000444EF"/>
    <w:rsid w:val="00052A07"/>
    <w:rsid w:val="000534E3"/>
    <w:rsid w:val="0005606A"/>
    <w:rsid w:val="00057117"/>
    <w:rsid w:val="000616E7"/>
    <w:rsid w:val="00063DD4"/>
    <w:rsid w:val="0006487E"/>
    <w:rsid w:val="00065E1A"/>
    <w:rsid w:val="00071E0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6C"/>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4E9"/>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3F9"/>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04C"/>
    <w:rsid w:val="00331751"/>
    <w:rsid w:val="00334579"/>
    <w:rsid w:val="00335858"/>
    <w:rsid w:val="00336BDA"/>
    <w:rsid w:val="00342BD7"/>
    <w:rsid w:val="00346DB5"/>
    <w:rsid w:val="003477B1"/>
    <w:rsid w:val="00357380"/>
    <w:rsid w:val="003602D9"/>
    <w:rsid w:val="003604CE"/>
    <w:rsid w:val="00370E47"/>
    <w:rsid w:val="00371E71"/>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DE2"/>
    <w:rsid w:val="005300E6"/>
    <w:rsid w:val="00534B59"/>
    <w:rsid w:val="00536759"/>
    <w:rsid w:val="00537C62"/>
    <w:rsid w:val="00546970"/>
    <w:rsid w:val="00554E19"/>
    <w:rsid w:val="0056121F"/>
    <w:rsid w:val="00572505"/>
    <w:rsid w:val="00582809"/>
    <w:rsid w:val="00582FD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16B23"/>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015"/>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5A7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8E"/>
    <w:rsid w:val="008A21FF"/>
    <w:rsid w:val="008A2CE2"/>
    <w:rsid w:val="008A30AC"/>
    <w:rsid w:val="008A44B8"/>
    <w:rsid w:val="008A51A8"/>
    <w:rsid w:val="008A54C7"/>
    <w:rsid w:val="008A77D8"/>
    <w:rsid w:val="008B0483"/>
    <w:rsid w:val="008B120C"/>
    <w:rsid w:val="008B4960"/>
    <w:rsid w:val="008B51A0"/>
    <w:rsid w:val="008B592A"/>
    <w:rsid w:val="008B7B5C"/>
    <w:rsid w:val="008B7E91"/>
    <w:rsid w:val="008C0C99"/>
    <w:rsid w:val="008C2017"/>
    <w:rsid w:val="008C3753"/>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5C"/>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11BE"/>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233"/>
    <w:rsid w:val="00C14D4B"/>
    <w:rsid w:val="00C154BB"/>
    <w:rsid w:val="00C279B5"/>
    <w:rsid w:val="00C27C45"/>
    <w:rsid w:val="00C3719D"/>
    <w:rsid w:val="00C37CB2"/>
    <w:rsid w:val="00C473A5"/>
    <w:rsid w:val="00C54995"/>
    <w:rsid w:val="00C54D41"/>
    <w:rsid w:val="00C5763A"/>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58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885"/>
    <w:rsid w:val="00DA305E"/>
    <w:rsid w:val="00DA3BD5"/>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4B1"/>
    <w:rsid w:val="00E63838"/>
    <w:rsid w:val="00E64434"/>
    <w:rsid w:val="00E6737C"/>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0F4"/>
    <w:rsid w:val="00EC24D5"/>
    <w:rsid w:val="00EC27C6"/>
    <w:rsid w:val="00EC4207"/>
    <w:rsid w:val="00EC5653"/>
    <w:rsid w:val="00EC71CE"/>
    <w:rsid w:val="00ED1006"/>
    <w:rsid w:val="00EF18FE"/>
    <w:rsid w:val="00EF547A"/>
    <w:rsid w:val="00EF5787"/>
    <w:rsid w:val="00EF60D0"/>
    <w:rsid w:val="00F0033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3EC"/>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9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ink w:val="TANChar"/>
    <w:uiPriority w:val="99"/>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9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NChar">
    <w:name w:val="TAN Char"/>
    <w:link w:val="TAN"/>
    <w:uiPriority w:val="99"/>
    <w:locked/>
    <w:rsid w:val="00716B23"/>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323588">
      <w:bodyDiv w:val="1"/>
      <w:marLeft w:val="0"/>
      <w:marRight w:val="0"/>
      <w:marTop w:val="0"/>
      <w:marBottom w:val="0"/>
      <w:divBdr>
        <w:top w:val="none" w:sz="0" w:space="0" w:color="auto"/>
        <w:left w:val="none" w:sz="0" w:space="0" w:color="auto"/>
        <w:bottom w:val="none" w:sz="0" w:space="0" w:color="auto"/>
        <w:right w:val="none" w:sz="0" w:space="0" w:color="auto"/>
      </w:divBdr>
    </w:div>
    <w:div w:id="205457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182E091-B30A-41EB-B9C7-32FEE7B92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157</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17</cp:revision>
  <cp:lastPrinted>2008-01-31T16:09:00Z</cp:lastPrinted>
  <dcterms:created xsi:type="dcterms:W3CDTF">2025-09-27T11:53:00Z</dcterms:created>
  <dcterms:modified xsi:type="dcterms:W3CDTF">2025-10-02T07:45:00Z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